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E6B2F"/>
          <w:sz w:val="24"/>
        </w:rPr>
        <w:t>MKUU TRANSPORTATION LLC</w:t>
      </w:r>
    </w:p>
    <w:p>
      <w:pPr>
        <w:pStyle w:val="Title"/>
        <w:jc w:val="center"/>
      </w:pPr>
      <w:r>
        <w:t>NEW MOTOR CARRIER AUTHORITY CHECKLIST</w:t>
      </w:r>
    </w:p>
    <w:p>
      <w:pPr>
        <w:pStyle w:val="Subtitle"/>
        <w:jc w:val="center"/>
      </w:pPr>
      <w:r>
        <w:t>A practical startup and compliance roadmap for new interstate motor carriers</w:t>
      </w:r>
    </w:p>
    <w:tbl>
      <w:tblPr>
        <w:tblW w:type="auto" w:w="0"/>
        <w:jc w:val="center"/>
        <w:tblLayout w:type="fixed"/>
        <w:tblLook w:firstColumn="1" w:firstRow="1" w:lastColumn="0" w:lastRow="0" w:noHBand="0" w:noVBand="1" w:val="04A0"/>
      </w:tblPr>
      <w:tblGrid>
        <w:gridCol w:w="3600"/>
        <w:gridCol w:w="3600"/>
        <w:gridCol w:w="3600"/>
      </w:tblGrid>
      <w:tr>
        <w:tc>
          <w:tcPr>
            <w:tcW w:type="dxa" w:w="3456"/>
            <w:vAlign w:val="center"/>
          </w:tcPr>
          <w:p>
            <w:r>
              <w:rPr>
                <w:sz w:val="17"/>
              </w:rPr>
              <w:t>Company: ____________________</w:t>
            </w:r>
          </w:p>
        </w:tc>
        <w:tc>
          <w:tcPr>
            <w:tcW w:type="dxa" w:w="3456"/>
            <w:vAlign w:val="center"/>
          </w:tcPr>
          <w:p>
            <w:r>
              <w:rPr>
                <w:sz w:val="17"/>
              </w:rPr>
              <w:t>USDOT #: ____________________</w:t>
            </w:r>
          </w:p>
        </w:tc>
        <w:tc>
          <w:tcPr>
            <w:tcW w:type="dxa" w:w="3456"/>
            <w:vAlign w:val="center"/>
          </w:tcPr>
          <w:p>
            <w:r>
              <w:rPr>
                <w:sz w:val="17"/>
              </w:rPr>
              <w:t>MC #: ____________________</w:t>
            </w:r>
          </w:p>
        </w:tc>
      </w:tr>
    </w:tbl>
    <w:p/>
    <w:p>
      <w:pPr>
        <w:spacing w:before="100" w:after="40"/>
      </w:pPr>
      <w:r>
        <w:rPr>
          <w:b/>
          <w:color w:val="2E6B2F"/>
          <w:sz w:val="23"/>
        </w:rPr>
        <w:t>1. Build the Business Foundation</w:t>
      </w:r>
    </w:p>
    <w:p>
      <w:pPr>
        <w:spacing w:after="30"/>
        <w:ind w:left="115" w:hanging="29"/>
      </w:pPr>
      <w:r>
        <w:rPr>
          <w:rFonts w:ascii="Arial" w:hAnsi="Arial"/>
          <w:sz w:val="20"/>
        </w:rPr>
        <w:t xml:space="preserve">☐ </w:t>
      </w:r>
      <w:r>
        <w:rPr>
          <w:sz w:val="18"/>
        </w:rPr>
        <w:t>Choose and register the business entity with the appropriate state agency.</w:t>
      </w:r>
    </w:p>
    <w:p>
      <w:pPr>
        <w:spacing w:after="30"/>
        <w:ind w:left="115" w:hanging="29"/>
      </w:pPr>
      <w:r>
        <w:rPr>
          <w:rFonts w:ascii="Arial" w:hAnsi="Arial"/>
          <w:sz w:val="20"/>
        </w:rPr>
        <w:t xml:space="preserve">☐ </w:t>
      </w:r>
      <w:r>
        <w:rPr>
          <w:sz w:val="18"/>
        </w:rPr>
        <w:t>Obtain an EIN from the IRS and keep the confirmation with company records.</w:t>
      </w:r>
    </w:p>
    <w:p>
      <w:pPr>
        <w:spacing w:after="30"/>
        <w:ind w:left="115" w:hanging="29"/>
      </w:pPr>
      <w:r>
        <w:rPr>
          <w:rFonts w:ascii="Arial" w:hAnsi="Arial"/>
          <w:sz w:val="20"/>
        </w:rPr>
        <w:t xml:space="preserve">☐ </w:t>
      </w:r>
      <w:r>
        <w:rPr>
          <w:sz w:val="18"/>
        </w:rPr>
        <w:t>Open a dedicated business bank account and keep business and personal funds separate.</w:t>
      </w:r>
    </w:p>
    <w:p>
      <w:pPr>
        <w:spacing w:after="30"/>
        <w:ind w:left="115" w:hanging="29"/>
      </w:pPr>
      <w:r>
        <w:rPr>
          <w:rFonts w:ascii="Arial" w:hAnsi="Arial"/>
          <w:sz w:val="20"/>
        </w:rPr>
        <w:t xml:space="preserve">☐ </w:t>
      </w:r>
      <w:r>
        <w:rPr>
          <w:sz w:val="18"/>
        </w:rPr>
        <w:t>Set up bookkeeping, document storage, and a basic operating budget.</w:t>
      </w:r>
    </w:p>
    <w:p>
      <w:pPr>
        <w:spacing w:after="30"/>
        <w:ind w:left="115" w:hanging="29"/>
      </w:pPr>
      <w:r>
        <w:rPr>
          <w:rFonts w:ascii="Arial" w:hAnsi="Arial"/>
          <w:sz w:val="20"/>
        </w:rPr>
        <w:t xml:space="preserve">☐ </w:t>
      </w:r>
      <w:r>
        <w:rPr>
          <w:sz w:val="18"/>
        </w:rPr>
        <w:t>Establish professional business contact information, including email, phone, and mailing address.</w:t>
      </w:r>
    </w:p>
    <w:p>
      <w:pPr>
        <w:spacing w:before="100" w:after="40"/>
      </w:pPr>
      <w:r>
        <w:rPr>
          <w:b/>
          <w:color w:val="2E6B2F"/>
          <w:sz w:val="23"/>
        </w:rPr>
        <w:t>2. Determine Federal Registration Requirements</w:t>
      </w:r>
    </w:p>
    <w:p>
      <w:pPr>
        <w:spacing w:after="30"/>
        <w:ind w:left="115" w:hanging="29"/>
      </w:pPr>
      <w:r>
        <w:rPr>
          <w:rFonts w:ascii="Arial" w:hAnsi="Arial"/>
          <w:sz w:val="20"/>
        </w:rPr>
        <w:t xml:space="preserve">☐ </w:t>
      </w:r>
      <w:r>
        <w:rPr>
          <w:sz w:val="18"/>
        </w:rPr>
        <w:t>Determine whether your operation requires a USDOT Number, interstate operating authority (MC Number), or other FMCSA registration.</w:t>
      </w:r>
    </w:p>
    <w:p>
      <w:pPr>
        <w:spacing w:after="30"/>
        <w:ind w:left="115" w:hanging="29"/>
      </w:pPr>
      <w:r>
        <w:rPr>
          <w:rFonts w:ascii="Arial" w:hAnsi="Arial"/>
          <w:sz w:val="20"/>
        </w:rPr>
        <w:t xml:space="preserve">☐ </w:t>
      </w:r>
      <w:r>
        <w:rPr>
          <w:sz w:val="18"/>
        </w:rPr>
        <w:t>Complete the applicable FMCSA registration process and verify that company name, address, operation type, cargo classification, and contact information are accurate.</w:t>
      </w:r>
    </w:p>
    <w:p>
      <w:pPr>
        <w:spacing w:after="30"/>
        <w:ind w:left="115" w:hanging="29"/>
      </w:pPr>
      <w:r>
        <w:rPr>
          <w:rFonts w:ascii="Arial" w:hAnsi="Arial"/>
          <w:sz w:val="20"/>
        </w:rPr>
        <w:t xml:space="preserve">☐ </w:t>
      </w:r>
      <w:r>
        <w:rPr>
          <w:sz w:val="18"/>
        </w:rPr>
        <w:t>Create and secure your FMCSA Portal/Login.gov access credentials.</w:t>
      </w:r>
    </w:p>
    <w:p>
      <w:pPr>
        <w:spacing w:after="30"/>
        <w:ind w:left="115" w:hanging="29"/>
      </w:pPr>
      <w:r>
        <w:rPr>
          <w:rFonts w:ascii="Arial" w:hAnsi="Arial"/>
          <w:sz w:val="20"/>
        </w:rPr>
        <w:t xml:space="preserve">☐ </w:t>
      </w:r>
      <w:r>
        <w:rPr>
          <w:sz w:val="18"/>
        </w:rPr>
        <w:t>Record important registration information in a secure company compliance file.</w:t>
      </w:r>
    </w:p>
    <w:p>
      <w:pPr>
        <w:spacing w:before="100" w:after="40"/>
      </w:pPr>
      <w:r>
        <w:rPr>
          <w:b/>
          <w:color w:val="2E6B2F"/>
          <w:sz w:val="23"/>
        </w:rPr>
        <w:t>3. Operating Authority, Insurance &amp; Process Agent</w:t>
      </w:r>
    </w:p>
    <w:p>
      <w:pPr>
        <w:spacing w:after="30"/>
        <w:ind w:left="115" w:hanging="29"/>
      </w:pPr>
      <w:r>
        <w:rPr>
          <w:rFonts w:ascii="Arial" w:hAnsi="Arial"/>
          <w:sz w:val="20"/>
        </w:rPr>
        <w:t xml:space="preserve">☐ </w:t>
      </w:r>
      <w:r>
        <w:rPr>
          <w:sz w:val="18"/>
        </w:rPr>
        <w:t>If operating as a for-hire interstate carrier subject to authority requirements, complete the applicable operating-authority registration.</w:t>
      </w:r>
    </w:p>
    <w:p>
      <w:pPr>
        <w:spacing w:after="30"/>
        <w:ind w:left="115" w:hanging="29"/>
      </w:pPr>
      <w:r>
        <w:rPr>
          <w:rFonts w:ascii="Arial" w:hAnsi="Arial"/>
          <w:sz w:val="20"/>
        </w:rPr>
        <w:t xml:space="preserve">☐ </w:t>
      </w:r>
      <w:r>
        <w:rPr>
          <w:sz w:val="18"/>
        </w:rPr>
        <w:t>Arrange the required insurance filing through your insurance provider. Confirm that the filing appears in FMCSA records.</w:t>
      </w:r>
    </w:p>
    <w:p>
      <w:pPr>
        <w:spacing w:after="30"/>
        <w:ind w:left="115" w:hanging="29"/>
      </w:pPr>
      <w:r>
        <w:rPr>
          <w:rFonts w:ascii="Arial" w:hAnsi="Arial"/>
          <w:sz w:val="20"/>
        </w:rPr>
        <w:t xml:space="preserve">☐ </w:t>
      </w:r>
      <w:r>
        <w:rPr>
          <w:sz w:val="18"/>
        </w:rPr>
        <w:t>File a BOC-3 designation of process agents through an authorized process-agent provider when required.</w:t>
      </w:r>
    </w:p>
    <w:p>
      <w:pPr>
        <w:spacing w:after="30"/>
        <w:ind w:left="115" w:hanging="29"/>
      </w:pPr>
      <w:r>
        <w:rPr>
          <w:rFonts w:ascii="Arial" w:hAnsi="Arial"/>
          <w:sz w:val="20"/>
        </w:rPr>
        <w:t xml:space="preserve">☐ </w:t>
      </w:r>
      <w:r>
        <w:rPr>
          <w:sz w:val="18"/>
        </w:rPr>
        <w:t>Do not begin regulated for-hire interstate operations until the required authority is active.</w:t>
      </w:r>
    </w:p>
    <w:p>
      <w:pPr>
        <w:spacing w:before="100" w:after="40"/>
      </w:pPr>
      <w:r>
        <w:rPr>
          <w:b/>
          <w:color w:val="2E6B2F"/>
          <w:sz w:val="23"/>
        </w:rPr>
        <w:t>4. State &amp; Multi-State Registrations</w:t>
      </w:r>
    </w:p>
    <w:p>
      <w:pPr>
        <w:spacing w:after="30"/>
        <w:ind w:left="115" w:hanging="29"/>
      </w:pPr>
      <w:r>
        <w:rPr>
          <w:rFonts w:ascii="Arial" w:hAnsi="Arial"/>
          <w:sz w:val="20"/>
        </w:rPr>
        <w:t xml:space="preserve">☐ </w:t>
      </w:r>
      <w:r>
        <w:rPr>
          <w:sz w:val="18"/>
        </w:rPr>
        <w:t>Complete Unified Carrier Registration (UCR) if your operation is subject to UCR requirements.</w:t>
      </w:r>
    </w:p>
    <w:p>
      <w:pPr>
        <w:spacing w:after="30"/>
        <w:ind w:left="115" w:hanging="29"/>
      </w:pPr>
      <w:r>
        <w:rPr>
          <w:rFonts w:ascii="Arial" w:hAnsi="Arial"/>
          <w:sz w:val="20"/>
        </w:rPr>
        <w:t xml:space="preserve">☐ </w:t>
      </w:r>
      <w:r>
        <w:rPr>
          <w:sz w:val="18"/>
        </w:rPr>
        <w:t>Determine whether International Registration Plan (IRP) apportioned registration applies to your vehicles and operation.</w:t>
      </w:r>
    </w:p>
    <w:p>
      <w:pPr>
        <w:spacing w:after="30"/>
        <w:ind w:left="115" w:hanging="29"/>
      </w:pPr>
      <w:r>
        <w:rPr>
          <w:rFonts w:ascii="Arial" w:hAnsi="Arial"/>
          <w:sz w:val="20"/>
        </w:rPr>
        <w:t xml:space="preserve">☐ </w:t>
      </w:r>
      <w:r>
        <w:rPr>
          <w:sz w:val="18"/>
        </w:rPr>
        <w:t>Determine whether International Fuel Tax Agreement (IFTA) licensing applies.</w:t>
      </w:r>
    </w:p>
    <w:p>
      <w:pPr>
        <w:spacing w:after="30"/>
        <w:ind w:left="115" w:hanging="29"/>
      </w:pPr>
      <w:r>
        <w:rPr>
          <w:rFonts w:ascii="Arial" w:hAnsi="Arial"/>
          <w:sz w:val="20"/>
        </w:rPr>
        <w:t xml:space="preserve">☐ </w:t>
      </w:r>
      <w:r>
        <w:rPr>
          <w:sz w:val="18"/>
        </w:rPr>
        <w:t>Check your base state's registration, tax, weight-distance, permit, and business requirements.</w:t>
      </w:r>
    </w:p>
    <w:p>
      <w:pPr>
        <w:spacing w:after="30"/>
        <w:ind w:left="115" w:hanging="29"/>
      </w:pPr>
      <w:r>
        <w:rPr>
          <w:rFonts w:ascii="Arial" w:hAnsi="Arial"/>
          <w:sz w:val="20"/>
        </w:rPr>
        <w:t xml:space="preserve">☐ </w:t>
      </w:r>
      <w:r>
        <w:rPr>
          <w:sz w:val="18"/>
        </w:rPr>
        <w:t>Review special permit requirements before hauling oversize, overweight, hazardous, or otherwise regulated loads.</w:t>
      </w:r>
    </w:p>
    <w:p>
      <w:pPr>
        <w:spacing w:before="100" w:after="40"/>
      </w:pPr>
      <w:r>
        <w:rPr>
          <w:b/>
          <w:color w:val="2E6B2F"/>
          <w:sz w:val="23"/>
        </w:rPr>
        <w:t>5. Driver Qualification &amp; Safety Files</w:t>
      </w:r>
    </w:p>
    <w:p>
      <w:pPr>
        <w:spacing w:after="30"/>
        <w:ind w:left="115" w:hanging="29"/>
      </w:pPr>
      <w:r>
        <w:rPr>
          <w:rFonts w:ascii="Arial" w:hAnsi="Arial"/>
          <w:sz w:val="20"/>
        </w:rPr>
        <w:t xml:space="preserve">☐ </w:t>
      </w:r>
      <w:r>
        <w:rPr>
          <w:sz w:val="18"/>
        </w:rPr>
        <w:t>Create a Driver Qualification (DQ) file for each driver as required by applicable FMCSA rules.</w:t>
      </w:r>
    </w:p>
    <w:p>
      <w:pPr>
        <w:spacing w:after="30"/>
        <w:ind w:left="115" w:hanging="29"/>
      </w:pPr>
      <w:r>
        <w:rPr>
          <w:rFonts w:ascii="Arial" w:hAnsi="Arial"/>
          <w:sz w:val="20"/>
        </w:rPr>
        <w:t xml:space="preserve">☐ </w:t>
      </w:r>
      <w:r>
        <w:rPr>
          <w:sz w:val="18"/>
        </w:rPr>
        <w:t>Verify each driver's CDL class, endorsements, medical qualification/status, driving history, and other required qualification documents.</w:t>
      </w:r>
    </w:p>
    <w:p>
      <w:pPr>
        <w:spacing w:after="30"/>
        <w:ind w:left="115" w:hanging="29"/>
      </w:pPr>
      <w:r>
        <w:rPr>
          <w:rFonts w:ascii="Arial" w:hAnsi="Arial"/>
          <w:sz w:val="20"/>
        </w:rPr>
        <w:t xml:space="preserve">☐ </w:t>
      </w:r>
      <w:r>
        <w:rPr>
          <w:sz w:val="18"/>
        </w:rPr>
        <w:t>Establish written procedures for vehicle inspections, maintenance, accident records, and safety documentation.</w:t>
      </w:r>
    </w:p>
    <w:p>
      <w:pPr>
        <w:spacing w:after="30"/>
        <w:ind w:left="115" w:hanging="29"/>
      </w:pPr>
      <w:r>
        <w:rPr>
          <w:rFonts w:ascii="Arial" w:hAnsi="Arial"/>
          <w:sz w:val="20"/>
        </w:rPr>
        <w:t xml:space="preserve">☐ </w:t>
      </w:r>
      <w:r>
        <w:rPr>
          <w:sz w:val="18"/>
        </w:rPr>
        <w:t>Create a system for retaining required records and retrieving them quickly during an audit or roadside/compliance review.</w:t>
      </w:r>
    </w:p>
    <w:p>
      <w:pPr>
        <w:spacing w:before="100" w:after="40"/>
      </w:pPr>
      <w:r>
        <w:rPr>
          <w:b/>
          <w:color w:val="2E6B2F"/>
          <w:sz w:val="23"/>
        </w:rPr>
        <w:t>6. Drug &amp; Alcohol Program / Clearinghouse</w:t>
      </w:r>
    </w:p>
    <w:p>
      <w:pPr>
        <w:spacing w:after="30"/>
        <w:ind w:left="115" w:hanging="29"/>
      </w:pPr>
      <w:r>
        <w:rPr>
          <w:rFonts w:ascii="Arial" w:hAnsi="Arial"/>
          <w:sz w:val="20"/>
        </w:rPr>
        <w:t xml:space="preserve">☐ </w:t>
      </w:r>
      <w:r>
        <w:rPr>
          <w:sz w:val="18"/>
        </w:rPr>
        <w:t>If subject to 49 CFR Parts 40 and 382, enroll in a compliant DOT drug and alcohol testing program.</w:t>
      </w:r>
    </w:p>
    <w:p>
      <w:pPr>
        <w:spacing w:after="30"/>
        <w:ind w:left="115" w:hanging="29"/>
      </w:pPr>
      <w:r>
        <w:rPr>
          <w:rFonts w:ascii="Arial" w:hAnsi="Arial"/>
          <w:sz w:val="20"/>
        </w:rPr>
        <w:t xml:space="preserve">☐ </w:t>
      </w:r>
      <w:r>
        <w:rPr>
          <w:sz w:val="18"/>
        </w:rPr>
        <w:t>Register the employer in the FMCSA Drug &amp; Alcohol Clearinghouse and understand employer query/reporting responsibilities.</w:t>
      </w:r>
    </w:p>
    <w:p>
      <w:pPr>
        <w:spacing w:after="30"/>
        <w:ind w:left="115" w:hanging="29"/>
      </w:pPr>
      <w:r>
        <w:rPr>
          <w:rFonts w:ascii="Arial" w:hAnsi="Arial"/>
          <w:sz w:val="20"/>
        </w:rPr>
        <w:t xml:space="preserve">☐ </w:t>
      </w:r>
      <w:r>
        <w:rPr>
          <w:sz w:val="18"/>
        </w:rPr>
        <w:t>For an owner-operator who employs himself or herself as a CDL driver, designate a consortium/third-party administrator (C/TPA) in the Clearinghouse.</w:t>
      </w:r>
    </w:p>
    <w:p>
      <w:pPr>
        <w:spacing w:after="30"/>
        <w:ind w:left="115" w:hanging="29"/>
      </w:pPr>
      <w:r>
        <w:rPr>
          <w:rFonts w:ascii="Arial" w:hAnsi="Arial"/>
          <w:sz w:val="20"/>
        </w:rPr>
        <w:t xml:space="preserve">☐ </w:t>
      </w:r>
      <w:r>
        <w:rPr>
          <w:sz w:val="18"/>
        </w:rPr>
        <w:t>Complete required pre-employment testing and Clearinghouse queries before a driver performs safety-sensitive functions.</w:t>
      </w:r>
    </w:p>
    <w:p>
      <w:pPr>
        <w:spacing w:after="30"/>
        <w:ind w:left="115" w:hanging="29"/>
      </w:pPr>
      <w:r>
        <w:rPr>
          <w:rFonts w:ascii="Arial" w:hAnsi="Arial"/>
          <w:sz w:val="20"/>
        </w:rPr>
        <w:t xml:space="preserve">☐ </w:t>
      </w:r>
      <w:r>
        <w:rPr>
          <w:sz w:val="18"/>
        </w:rPr>
        <w:t>Set reminders for required annual Clearinghouse queries and random-testing program obligations.</w:t>
      </w:r>
    </w:p>
    <w:p>
      <w:pPr>
        <w:spacing w:before="100" w:after="40"/>
      </w:pPr>
      <w:r>
        <w:rPr>
          <w:b/>
          <w:color w:val="2E6B2F"/>
          <w:sz w:val="23"/>
        </w:rPr>
        <w:t>7. Hours of Service &amp; ELD</w:t>
      </w:r>
    </w:p>
    <w:p>
      <w:pPr>
        <w:spacing w:after="30"/>
        <w:ind w:left="115" w:hanging="29"/>
      </w:pPr>
      <w:r>
        <w:rPr>
          <w:rFonts w:ascii="Arial" w:hAnsi="Arial"/>
          <w:sz w:val="20"/>
        </w:rPr>
        <w:t xml:space="preserve">☐ </w:t>
      </w:r>
      <w:r>
        <w:rPr>
          <w:sz w:val="18"/>
        </w:rPr>
        <w:t>Determine which Hours-of-Service rules apply to your operation.</w:t>
      </w:r>
    </w:p>
    <w:p>
      <w:pPr>
        <w:spacing w:after="30"/>
        <w:ind w:left="115" w:hanging="29"/>
      </w:pPr>
      <w:r>
        <w:rPr>
          <w:rFonts w:ascii="Arial" w:hAnsi="Arial"/>
          <w:sz w:val="20"/>
        </w:rPr>
        <w:t xml:space="preserve">☐ </w:t>
      </w:r>
      <w:r>
        <w:rPr>
          <w:sz w:val="18"/>
        </w:rPr>
        <w:t>If required to maintain records of duty status, select an ELD that appears on FMCSA's registered, self-certified device list unless an exception applies.</w:t>
      </w:r>
    </w:p>
    <w:p>
      <w:pPr>
        <w:spacing w:after="30"/>
        <w:ind w:left="115" w:hanging="29"/>
      </w:pPr>
      <w:r>
        <w:rPr>
          <w:rFonts w:ascii="Arial" w:hAnsi="Arial"/>
          <w:sz w:val="20"/>
        </w:rPr>
        <w:t xml:space="preserve">☐ </w:t>
      </w:r>
      <w:r>
        <w:rPr>
          <w:sz w:val="18"/>
        </w:rPr>
        <w:t>Train drivers on HOS limits, proper ELD use, annotations, supporting documents, malfunction procedures, and roadside transfer procedures.</w:t>
      </w:r>
    </w:p>
    <w:p>
      <w:pPr>
        <w:spacing w:after="30"/>
        <w:ind w:left="115" w:hanging="29"/>
      </w:pPr>
      <w:r>
        <w:rPr>
          <w:rFonts w:ascii="Arial" w:hAnsi="Arial"/>
          <w:sz w:val="20"/>
        </w:rPr>
        <w:t xml:space="preserve">☐ </w:t>
      </w:r>
      <w:r>
        <w:rPr>
          <w:sz w:val="18"/>
        </w:rPr>
        <w:t>Keep required ELD information and backup records available in the commercial motor vehicle.</w:t>
      </w:r>
    </w:p>
    <w:p>
      <w:pPr>
        <w:spacing w:before="100" w:after="40"/>
      </w:pPr>
      <w:r>
        <w:rPr>
          <w:b/>
          <w:color w:val="2E6B2F"/>
          <w:sz w:val="23"/>
        </w:rPr>
        <w:t>8. Vehicle Readiness &amp; Maintenance</w:t>
      </w:r>
    </w:p>
    <w:p>
      <w:pPr>
        <w:spacing w:after="30"/>
        <w:ind w:left="115" w:hanging="29"/>
      </w:pPr>
      <w:r>
        <w:rPr>
          <w:rFonts w:ascii="Arial" w:hAnsi="Arial"/>
          <w:sz w:val="20"/>
        </w:rPr>
        <w:t xml:space="preserve">☐ </w:t>
      </w:r>
      <w:r>
        <w:rPr>
          <w:sz w:val="18"/>
        </w:rPr>
        <w:t>Verify registration, plates, permits, insurance documentation, and required credentials before dispatch.</w:t>
      </w:r>
    </w:p>
    <w:p>
      <w:pPr>
        <w:spacing w:after="30"/>
        <w:ind w:left="115" w:hanging="29"/>
      </w:pPr>
      <w:r>
        <w:rPr>
          <w:rFonts w:ascii="Arial" w:hAnsi="Arial"/>
          <w:sz w:val="20"/>
        </w:rPr>
        <w:t xml:space="preserve">☐ </w:t>
      </w:r>
      <w:r>
        <w:rPr>
          <w:sz w:val="18"/>
        </w:rPr>
        <w:t>Perform and document required inspections and correct safety defects promptly.</w:t>
      </w:r>
    </w:p>
    <w:p>
      <w:pPr>
        <w:spacing w:after="30"/>
        <w:ind w:left="115" w:hanging="29"/>
      </w:pPr>
      <w:r>
        <w:rPr>
          <w:rFonts w:ascii="Arial" w:hAnsi="Arial"/>
          <w:sz w:val="20"/>
        </w:rPr>
        <w:t xml:space="preserve">☐ </w:t>
      </w:r>
      <w:r>
        <w:rPr>
          <w:sz w:val="18"/>
        </w:rPr>
        <w:t>Create a preventive-maintenance schedule for tractors, trailers, tires, brakes, lights, fluids, and safety equipment.</w:t>
      </w:r>
    </w:p>
    <w:p>
      <w:pPr>
        <w:spacing w:after="30"/>
        <w:ind w:left="115" w:hanging="29"/>
      </w:pPr>
      <w:r>
        <w:rPr>
          <w:rFonts w:ascii="Arial" w:hAnsi="Arial"/>
          <w:sz w:val="20"/>
        </w:rPr>
        <w:t xml:space="preserve">☐ </w:t>
      </w:r>
      <w:r>
        <w:rPr>
          <w:sz w:val="18"/>
        </w:rPr>
        <w:t>Keep maintenance and repair records organized by unit.</w:t>
      </w:r>
    </w:p>
    <w:p>
      <w:pPr>
        <w:spacing w:before="100" w:after="40"/>
      </w:pPr>
      <w:r>
        <w:rPr>
          <w:b/>
          <w:color w:val="2E6B2F"/>
          <w:sz w:val="23"/>
        </w:rPr>
        <w:t>9. Business Operations Before the First Load</w:t>
      </w:r>
    </w:p>
    <w:p>
      <w:pPr>
        <w:spacing w:after="30"/>
        <w:ind w:left="115" w:hanging="29"/>
      </w:pPr>
      <w:r>
        <w:rPr>
          <w:rFonts w:ascii="Arial" w:hAnsi="Arial"/>
          <w:sz w:val="20"/>
        </w:rPr>
        <w:t xml:space="preserve">☐ </w:t>
      </w:r>
      <w:r>
        <w:rPr>
          <w:sz w:val="18"/>
        </w:rPr>
        <w:t>Set a minimum acceptable rate using your real cost per mile and fixed/variable expenses.</w:t>
      </w:r>
    </w:p>
    <w:p>
      <w:pPr>
        <w:spacing w:after="30"/>
        <w:ind w:left="115" w:hanging="29"/>
      </w:pPr>
      <w:r>
        <w:rPr>
          <w:rFonts w:ascii="Arial" w:hAnsi="Arial"/>
          <w:sz w:val="20"/>
        </w:rPr>
        <w:t xml:space="preserve">☐ </w:t>
      </w:r>
      <w:r>
        <w:rPr>
          <w:sz w:val="18"/>
        </w:rPr>
        <w:t>Choose payment processes: direct billing, quick pay, factoring, or a combination appropriate to the business.</w:t>
      </w:r>
    </w:p>
    <w:p>
      <w:pPr>
        <w:spacing w:after="30"/>
        <w:ind w:left="115" w:hanging="29"/>
      </w:pPr>
      <w:r>
        <w:rPr>
          <w:rFonts w:ascii="Arial" w:hAnsi="Arial"/>
          <w:sz w:val="20"/>
        </w:rPr>
        <w:t xml:space="preserve">☐ </w:t>
      </w:r>
      <w:r>
        <w:rPr>
          <w:sz w:val="18"/>
        </w:rPr>
        <w:t>Prepare a carrier packet with W-9, authority information, insurance certificate, banking/payment information, and other commonly requested documents.</w:t>
      </w:r>
    </w:p>
    <w:p>
      <w:pPr>
        <w:spacing w:after="30"/>
        <w:ind w:left="115" w:hanging="29"/>
      </w:pPr>
      <w:r>
        <w:rPr>
          <w:rFonts w:ascii="Arial" w:hAnsi="Arial"/>
          <w:sz w:val="20"/>
        </w:rPr>
        <w:t xml:space="preserve">☐ </w:t>
      </w:r>
      <w:r>
        <w:rPr>
          <w:sz w:val="18"/>
        </w:rPr>
        <w:t>Establish procedures for rate confirmations, bills of lading, proof of delivery, lumper/receipt records, detention, accessorials, and invoicing.</w:t>
      </w:r>
    </w:p>
    <w:p>
      <w:pPr>
        <w:spacing w:after="30"/>
        <w:ind w:left="115" w:hanging="29"/>
      </w:pPr>
      <w:r>
        <w:rPr>
          <w:rFonts w:ascii="Arial" w:hAnsi="Arial"/>
          <w:sz w:val="20"/>
        </w:rPr>
        <w:t xml:space="preserve">☐ </w:t>
      </w:r>
      <w:r>
        <w:rPr>
          <w:sz w:val="18"/>
        </w:rPr>
        <w:t>Vet brokers and customers before accepting freight and verify payment and identity information independently.</w:t>
      </w:r>
    </w:p>
    <w:p>
      <w:pPr>
        <w:spacing w:before="100" w:after="40"/>
      </w:pPr>
      <w:r>
        <w:rPr>
          <w:b/>
          <w:color w:val="2E6B2F"/>
          <w:sz w:val="23"/>
        </w:rPr>
        <w:t>10. New Entrant Safety Assurance Period</w:t>
      </w:r>
    </w:p>
    <w:p>
      <w:pPr>
        <w:spacing w:after="30"/>
        <w:ind w:left="115" w:hanging="29"/>
      </w:pPr>
      <w:r>
        <w:rPr>
          <w:rFonts w:ascii="Arial" w:hAnsi="Arial"/>
          <w:sz w:val="20"/>
        </w:rPr>
        <w:t xml:space="preserve">☐ </w:t>
      </w:r>
      <w:r>
        <w:rPr>
          <w:sz w:val="18"/>
        </w:rPr>
        <w:t>Understand that a new interstate motor carrier is monitored under FMCSA's New Entrant Safety Assurance Program during its initial 18-month period.</w:t>
      </w:r>
    </w:p>
    <w:p>
      <w:pPr>
        <w:spacing w:after="30"/>
        <w:ind w:left="115" w:hanging="29"/>
      </w:pPr>
      <w:r>
        <w:rPr>
          <w:rFonts w:ascii="Arial" w:hAnsi="Arial"/>
          <w:sz w:val="20"/>
        </w:rPr>
        <w:t xml:space="preserve">☐ </w:t>
      </w:r>
      <w:r>
        <w:rPr>
          <w:sz w:val="18"/>
        </w:rPr>
        <w:t>Prepare for the New Entrant Safety Audit by keeping driver, drug/alcohol, HOS, vehicle, maintenance, accident, and insurance records current and organized.</w:t>
      </w:r>
    </w:p>
    <w:p>
      <w:pPr>
        <w:spacing w:after="30"/>
        <w:ind w:left="115" w:hanging="29"/>
      </w:pPr>
      <w:r>
        <w:rPr>
          <w:rFonts w:ascii="Arial" w:hAnsi="Arial"/>
          <w:sz w:val="20"/>
        </w:rPr>
        <w:t xml:space="preserve">☐ </w:t>
      </w:r>
      <w:r>
        <w:rPr>
          <w:sz w:val="18"/>
        </w:rPr>
        <w:t>Correct compliance problems immediately rather than waiting for an audit.</w:t>
      </w:r>
    </w:p>
    <w:p>
      <w:pPr>
        <w:spacing w:after="30"/>
        <w:ind w:left="115" w:hanging="29"/>
      </w:pPr>
      <w:r>
        <w:rPr>
          <w:rFonts w:ascii="Arial" w:hAnsi="Arial"/>
          <w:sz w:val="20"/>
        </w:rPr>
        <w:t xml:space="preserve">☐ </w:t>
      </w:r>
      <w:r>
        <w:rPr>
          <w:sz w:val="18"/>
        </w:rPr>
        <w:t>Monitor FMCSA communications and keep company contact information current.</w:t>
      </w:r>
    </w:p>
    <w:p>
      <w:pPr>
        <w:spacing w:before="100" w:after="40"/>
      </w:pPr>
      <w:r>
        <w:rPr>
          <w:b/>
          <w:color w:val="2E6B2F"/>
          <w:sz w:val="23"/>
        </w:rPr>
        <w:t>11. First 90 Days - Operating Discipline</w:t>
      </w:r>
    </w:p>
    <w:p>
      <w:pPr>
        <w:spacing w:after="30"/>
        <w:ind w:left="115" w:hanging="29"/>
      </w:pPr>
      <w:r>
        <w:rPr>
          <w:rFonts w:ascii="Arial" w:hAnsi="Arial"/>
          <w:sz w:val="20"/>
        </w:rPr>
        <w:t xml:space="preserve">☐ </w:t>
      </w:r>
      <w:r>
        <w:rPr>
          <w:sz w:val="18"/>
        </w:rPr>
        <w:t>Review revenue, fuel, maintenance, insurance, tolls, factoring/payment fees, and cost per mile every week.</w:t>
      </w:r>
    </w:p>
    <w:p>
      <w:pPr>
        <w:spacing w:after="30"/>
        <w:ind w:left="115" w:hanging="29"/>
      </w:pPr>
      <w:r>
        <w:rPr>
          <w:rFonts w:ascii="Arial" w:hAnsi="Arial"/>
          <w:sz w:val="20"/>
        </w:rPr>
        <w:t xml:space="preserve">☐ </w:t>
      </w:r>
      <w:r>
        <w:rPr>
          <w:sz w:val="18"/>
        </w:rPr>
        <w:t>Maintain a cash reserve for repairs, deductibles, taxes, permits, and unexpected downtime.</w:t>
      </w:r>
    </w:p>
    <w:p>
      <w:pPr>
        <w:spacing w:after="30"/>
        <w:ind w:left="115" w:hanging="29"/>
      </w:pPr>
      <w:r>
        <w:rPr>
          <w:rFonts w:ascii="Arial" w:hAnsi="Arial"/>
          <w:sz w:val="20"/>
        </w:rPr>
        <w:t xml:space="preserve">☐ </w:t>
      </w:r>
      <w:r>
        <w:rPr>
          <w:sz w:val="18"/>
        </w:rPr>
        <w:t>Track broker/customer performance, lanes, deadhead, detention, and true profit per load.</w:t>
      </w:r>
    </w:p>
    <w:p>
      <w:pPr>
        <w:spacing w:after="30"/>
        <w:ind w:left="115" w:hanging="29"/>
      </w:pPr>
      <w:r>
        <w:rPr>
          <w:rFonts w:ascii="Arial" w:hAnsi="Arial"/>
          <w:sz w:val="20"/>
        </w:rPr>
        <w:t xml:space="preserve">☐ </w:t>
      </w:r>
      <w:r>
        <w:rPr>
          <w:sz w:val="18"/>
        </w:rPr>
        <w:t>Review safety scores, roadside inspection results, HOS practices, and maintenance issues regularly.</w:t>
      </w:r>
    </w:p>
    <w:p>
      <w:pPr>
        <w:spacing w:after="30"/>
        <w:ind w:left="115" w:hanging="29"/>
      </w:pPr>
      <w:r>
        <w:rPr>
          <w:rFonts w:ascii="Arial" w:hAnsi="Arial"/>
          <w:sz w:val="20"/>
        </w:rPr>
        <w:t xml:space="preserve">☐ </w:t>
      </w:r>
      <w:r>
        <w:rPr>
          <w:sz w:val="18"/>
        </w:rPr>
        <w:t>Do not grow the fleet faster than the company's cash flow, compliance systems, and management capacity can support.</w:t>
      </w:r>
    </w:p>
    <w:p>
      <w:r>
        <w:rPr>
          <w:b/>
          <w:color w:val="2E6B2F"/>
          <w:sz w:val="24"/>
        </w:rPr>
        <w:t>Official Resources</w:t>
      </w:r>
    </w:p>
    <w:p>
      <w:pPr>
        <w:spacing w:after="20"/>
      </w:pPr>
      <w:r>
        <w:rPr>
          <w:b/>
        </w:rPr>
        <w:t xml:space="preserve">FMCSA - Getting Started with Registration: </w:t>
      </w:r>
      <w:r>
        <w:t>https://www.fmcsa.dot.gov/registration/getting-started</w:t>
      </w:r>
    </w:p>
    <w:p>
      <w:pPr>
        <w:spacing w:after="20"/>
      </w:pPr>
      <w:r>
        <w:rPr>
          <w:b/>
        </w:rPr>
        <w:t xml:space="preserve">FMCSA - New Entrant Safety Assurance Program: </w:t>
      </w:r>
      <w:r>
        <w:t>https://www.fmcsa.dot.gov/safety/new-entrant-safety-assurance-program</w:t>
      </w:r>
    </w:p>
    <w:p>
      <w:pPr>
        <w:spacing w:after="20"/>
      </w:pPr>
      <w:r>
        <w:rPr>
          <w:b/>
        </w:rPr>
        <w:t xml:space="preserve">FMCSA - Drug &amp; Alcohol Clearinghouse: </w:t>
      </w:r>
      <w:r>
        <w:t>https://clearinghouse.fmcsa.dot.gov/</w:t>
      </w:r>
    </w:p>
    <w:p>
      <w:pPr>
        <w:spacing w:after="20"/>
      </w:pPr>
      <w:r>
        <w:rPr>
          <w:b/>
        </w:rPr>
        <w:t xml:space="preserve">FMCSA - Electronic Logging Devices: </w:t>
      </w:r>
      <w:r>
        <w:t>https://eld.fmcsa.dot.gov/</w:t>
      </w:r>
    </w:p>
    <w:p>
      <w:pPr>
        <w:spacing w:after="20"/>
      </w:pPr>
      <w:r>
        <w:rPr>
          <w:b/>
        </w:rPr>
        <w:t xml:space="preserve">Unified Carrier Registration: </w:t>
      </w:r>
      <w:r>
        <w:t>https://plan.ucr.gov/</w:t>
      </w:r>
    </w:p>
    <w:p>
      <w:pPr>
        <w:spacing w:before="120"/>
      </w:pPr>
      <w:r>
        <w:rPr>
          <w:b/>
          <w:sz w:val="19"/>
        </w:rPr>
        <w:t>IMPORTANT NOTICE</w:t>
      </w:r>
    </w:p>
    <w:p>
      <w:pPr>
        <w:spacing w:after="60"/>
      </w:pPr>
      <w:r>
        <w:rPr>
          <w:i/>
          <w:sz w:val="16"/>
        </w:rPr>
        <w:t>This checklist is an educational business resource and is not legal, tax, insurance, or regulatory advice. Requirements vary by operation, vehicle, cargo, jurisdiction, and business structure. Regulations and agency procedures can change. Always verify current requirements directly with FMCSA, U.S. DOT, IRS, UCR, your state agencies, and qualified professional advisers before operating.</w:t>
      </w:r>
    </w:p>
    <w:p>
      <w:pPr>
        <w:jc w:val="center"/>
      </w:pPr>
      <w:r>
        <w:rPr>
          <w:b/>
          <w:sz w:val="17"/>
        </w:rPr>
        <w:t>Prepared by Mkuu Transportation LLC | Free Business Resource</w:t>
      </w:r>
    </w:p>
    <w:sectPr w:rsidR="00FC693F" w:rsidRPr="0006063C" w:rsidSect="00034616">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11111"/>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b w:val="0"/>
      <w:i/>
      <w:iCs/>
      <w:color w:val="555555"/>
      <w:spacing w:val="15"/>
      <w:sz w:val="21"/>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